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color w:val="0D9488"/>
          <w:sz w:val="20"/>
          <w:szCs w:val="20"/>
        </w:rPr>
        <w:t xml:space="preserve">━━━━━━━━━━</w:t>
      </w:r>
    </w:p>
    <w:p>
      <w:pPr>
        <w:pStyle w:val="Title"/>
        <w:spacing w:after="80"/>
      </w:pPr>
      <w:r>
        <w:rPr>
          <w:rFonts w:ascii="Calibri" w:cs="Calibri" w:eastAsia="Calibri" w:hAnsi="Calibri"/>
          <w:b/>
          <w:bCs/>
          <w:color w:val="0F172A"/>
          <w:sz w:val="40"/>
          <w:szCs w:val="40"/>
        </w:rPr>
        <w:t xml:space="preserve">Market Research — Tidal Wellness</w:t>
      </w:r>
    </w:p>
    <w:p>
      <w:pPr>
        <w:spacing w:after="60"/>
      </w:pPr>
      <w:r>
        <w:rPr>
          <w:rFonts w:ascii="Calibri" w:cs="Calibri" w:eastAsia="Calibri" w:hAnsi="Calibri"/>
          <w:color w:val="94A3B8"/>
          <w:sz w:val="20"/>
          <w:szCs w:val="20"/>
        </w:rPr>
        <w:t xml:space="preserve">August 12, 2026</w:t>
      </w:r>
    </w:p>
    <w:p>
      <w:pPr>
        <w:spacing w:after="400"/>
      </w:pPr>
      <w:r>
        <w:rPr>
          <w:rFonts w:ascii="Calibri" w:cs="Calibri" w:eastAsia="Calibri" w:hAnsi="Calibri"/>
          <w:color w:val="0D9488"/>
          <w:sz w:val="20"/>
          <w:szCs w:val="20"/>
        </w:rPr>
        <w:t xml:space="preserve">━━━━━━━━━━</w:t>
      </w:r>
    </w:p>
    <w:p>
      <w:pPr>
        <w:pStyle w:val="Heading1"/>
        <w:spacing w:after="120" w:before="48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Market Research: Tidal Wellness</w:t>
      </w:r>
    </w:p>
    <w:p>
      <w:pPr>
        <w:pStyle w:val="Heading2"/>
        <w:spacing w:after="120" w:before="360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Executive Summary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The boutique fitness and recovery studio market in the Northeast United States is in a period of healthy expansion, driven by post-pandemic consumer prioritization of preventive health, recovery culture crossing over from professional athletics, and the unbundling of the traditional gym membership.</w:t>
      </w:r>
    </w:p>
    <w:p>
      <w:pPr>
        <w:spacing w:after="60" w:before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Key findings:</w:t>
      </w:r>
    </w:p>
    <w:p>
      <w:pPr>
        <w:pStyle w:val="ListParagraph"/>
        <w:numPr>
          <w:ilvl w:val="0"/>
          <w:numId w:val="1"/>
        </w:num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Estimated TAM of $4.2B nationally for boutique recovery and wellness studios</w:t>
      </w:r>
    </w:p>
    <w:p>
      <w:pPr>
        <w:pStyle w:val="ListParagraph"/>
        <w:numPr>
          <w:ilvl w:val="0"/>
          <w:numId w:val="1"/>
        </w:num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Northeast SAM of approximately $980M, concentrated in metro Boston, NYC suburbs, and coastal Connecticut</w:t>
      </w:r>
    </w:p>
    <w:p>
      <w:pPr>
        <w:pStyle w:val="ListParagraph"/>
        <w:numPr>
          <w:ilvl w:val="0"/>
          <w:numId w:val="1"/>
        </w:num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Realistic 3-year SOM of $2.4M–$3.8M for a two-location operator</w:t>
      </w:r>
    </w:p>
    <w:p>
      <w:pPr>
        <w:pStyle w:val="ListParagraph"/>
        <w:numPr>
          <w:ilvl w:val="0"/>
          <w:numId w:val="1"/>
        </w:num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Fragmented competitive landscape: no player holds more than 4% regional share</w:t>
      </w:r>
    </w:p>
    <w:p>
      <w:pPr>
        <w:pStyle w:val="Heading2"/>
        <w:spacing w:after="120" w:before="360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Market Sizing</w:t>
      </w:r>
    </w:p>
    <w:p>
      <w:pPr>
        <w:spacing w:before="120"/>
      </w:pPr>
    </w:p>
    <w:p/>
    <w:p>
      <w:pPr>
        <w:pStyle w:val="Heading2"/>
        <w:spacing w:after="120" w:before="360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Customer Segments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Recovery-first athletes (25–40)</w:t>
      </w:r>
      <w:r>
        <w:rPr>
          <w:rFonts w:ascii="Calibri" w:cs="Calibri" w:eastAsia="Calibri" w:hAnsi="Calibri"/>
          <w:sz w:val="22"/>
          <w:szCs w:val="22"/>
        </w:rPr>
        <w:t xml:space="preserve"> — train hard elsewhere, buy recovery à la carte. High frequency, price-tolerant.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Longevity-focused professionals (35–55)</w:t>
      </w:r>
      <w:r>
        <w:rPr>
          <w:rFonts w:ascii="Calibri" w:cs="Calibri" w:eastAsia="Calibri" w:hAnsi="Calibri"/>
          <w:sz w:val="22"/>
          <w:szCs w:val="22"/>
        </w:rPr>
        <w:t xml:space="preserve"> — the fastest-growing segment; respond to memberships and assessments.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Post-physical-therapy graduates</w:t>
      </w:r>
      <w:r>
        <w:rPr>
          <w:rFonts w:ascii="Calibri" w:cs="Calibri" w:eastAsia="Calibri" w:hAnsi="Calibri"/>
          <w:sz w:val="22"/>
          <w:szCs w:val="22"/>
        </w:rPr>
        <w:t xml:space="preserve"> — referred by PT clinics; high retention when onboarded well.</w:t>
      </w:r>
    </w:p>
    <w:p>
      <w:pPr>
        <w:pStyle w:val="Heading2"/>
        <w:spacing w:after="120" w:before="360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Competitive Landscape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The regional market splits into franchise recovery concepts, spa-adjacent operators, and independent studios. Franchises win on consistency but lose on community; independents win on community but struggle with systems. The opening is a systems-driven independent with authentic local presence.</w:t>
      </w:r>
    </w:p>
    <w:p>
      <w:pPr>
        <w:pStyle w:val="Heading2"/>
        <w:spacing w:after="120" w:before="360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Strategic Recommendations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Anchor pricing on monthly memberships with a high-touch onboarding assessment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Build referral pipelines with 3–5 local PT clinics before opening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Program community events weekly — the moat is belonging, not equipment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Target 70% membership revenue mix by month 9</w:t>
      </w:r>
    </w:p>
    <w:p>
      <w:pPr>
        <w:spacing w:after="60" w:before="60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Generated by Making Waves AI Tools — Market Research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1"/>
      </w:pBdr>
      <w:tabs>
        <w:tab w:val="right" w:pos="9026"/>
      </w:tabs>
      <w:spacing w:before="200"/>
    </w:pPr>
    <w:r>
      <w:rPr>
        <w:rFonts w:ascii="Calibri" w:cs="Calibri" w:eastAsia="Calibri" w:hAnsi="Calibri"/>
        <w:color w:val="94A3B8"/>
        <w:sz w:val="14"/>
        <w:szCs w:val="14"/>
      </w:rPr>
      <w:t xml:space="preserve">Generated on August 12, 2026</w:t>
    </w:r>
    <w:r>
      <w:t xml:space="preserve">	</w:t>
    </w:r>
    <w:r>
      <w:rPr>
        <w:rFonts w:ascii="Calibri" w:cs="Calibri" w:eastAsia="Calibri" w:hAnsi="Calibri"/>
        <w:color w:val="0D9488"/>
        <w:sz w:val="14"/>
        <w:szCs w:val="14"/>
      </w:rPr>
      <w:t xml:space="preserve">makingwavescollective.com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2E8F0" w:sz="1"/>
      </w:pBdr>
      <w:tabs>
        <w:tab w:val="right" w:pos="9026"/>
      </w:tabs>
      <w:spacing w:after="200"/>
    </w:pPr>
    <w:r>
      <w:rPr>
        <w:rFonts w:ascii="Calibri" w:cs="Calibri" w:eastAsia="Calibri" w:hAnsi="Calibri"/>
        <w:b/>
        <w:bCs/>
        <w:color w:val="0D9488"/>
        <w:sz w:val="16"/>
        <w:szCs w:val="16"/>
      </w:rPr>
      <w:t xml:space="preserve">Making Waves Collective</w:t>
    </w:r>
    <w:r>
      <w:t xml:space="preserve">	</w:t>
    </w:r>
    <w:r>
      <w:rPr>
        <w:rFonts w:ascii="Calibri" w:cs="Calibri" w:eastAsia="Calibri" w:hAnsi="Calibri"/>
        <w:color w:val="94A3B8"/>
        <w:sz w:val="16"/>
        <w:szCs w:val="16"/>
      </w:rPr>
      <w:t xml:space="preserve">Market Research — Tidal Wellness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F172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after="120" w:before="480"/>
    </w:pPr>
    <w:rPr>
      <w:rFonts w:ascii="Calibri" w:cs="Calibri" w:eastAsia="Calibri" w:hAnsi="Calibri"/>
      <w:b/>
      <w:bCs/>
      <w:color w:val="0F172A"/>
      <w:sz w:val="32"/>
      <w:szCs w:val="32"/>
    </w:rPr>
  </w:style>
  <w:style w:type="paragraph" w:styleId="Heading2">
    <w:name w:val="Heading 2"/>
    <w:basedOn w:val="Normal"/>
    <w:next w:val="Normal"/>
    <w:qFormat/>
    <w:pPr>
      <w:pBdr>
        <w:bottom w:val="single" w:color="E2E8F0" w:sz="1"/>
      </w:pBdr>
      <w:spacing w:after="120" w:before="360"/>
    </w:pPr>
    <w:rPr>
      <w:rFonts w:ascii="Calibri" w:cs="Calibri" w:eastAsia="Calibri" w:hAnsi="Calibri"/>
      <w:b/>
      <w:bCs/>
      <w:color w:val="0D9488"/>
      <w:sz w:val="28"/>
      <w:szCs w:val="28"/>
    </w:rPr>
  </w:style>
  <w:style w:type="paragraph" w:styleId="Heading3">
    <w:name w:val="Heading 3"/>
    <w:basedOn w:val="Normal"/>
    <w:next w:val="Normal"/>
    <w:qFormat/>
    <w:pPr>
      <w:spacing w:after="120" w:before="240"/>
    </w:pPr>
    <w:rPr>
      <w:rFonts w:ascii="Calibri" w:cs="Calibri" w:eastAsia="Calibri" w:hAnsi="Calibri"/>
      <w:b/>
      <w:bCs/>
      <w:color w:val="0F172A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2026-08-18T23:37:49.672Z</dcterms:created>
  <dcterms:modified xsi:type="dcterms:W3CDTF">2026-08-18T23:37:49.672Z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