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D9488"/>
          <w:sz w:val="20"/>
          <w:szCs w:val="20"/>
        </w:rPr>
        <w:t xml:space="preserve">━━━━━━━━━━</w:t>
      </w:r>
    </w:p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Market Research — Tidal Wellness</w:t>
      </w:r>
    </w:p>
    <w:p>
      <w:pPr>
        <w:spacing w:after="60"/>
      </w:pPr>
      <w:r>
        <w:rPr>
          <w:rFonts w:ascii="Calibri" w:cs="Calibri" w:eastAsia="Calibri" w:hAnsi="Calibri"/>
          <w:color w:val="94A3B8"/>
          <w:sz w:val="20"/>
          <w:szCs w:val="20"/>
        </w:rPr>
        <w:t xml:space="preserve">October 11, 2026</w:t>
      </w:r>
    </w:p>
    <w:p>
      <w:pPr>
        <w:spacing w:after="400"/>
      </w:pPr>
      <w:r>
        <w:rPr>
          <w:rFonts w:ascii="Calibri" w:cs="Calibri" w:eastAsia="Calibri" w:hAnsi="Calibri"/>
          <w:color w:val="0D9488"/>
          <w:sz w:val="20"/>
          <w:szCs w:val="20"/>
        </w:rPr>
        <w:t xml:space="preserve">━━━━━━━━━━</w:t>
      </w:r>
    </w:p>
    <w:p>
      <w:pPr>
        <w:pStyle w:val="Heading1"/>
        <w:spacing w:after="120" w:before="48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Market Research: Tidal Wellness</w:t>
      </w:r>
    </w:p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Executive Summary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The boutique fitness and recovery studio market in the Northeast United States is in a period of healthy expansion, driven by post-pandemic consumer prioritization of preventive health, recovery culture crossing over from professional athletics, and the unbundling of the traditional gym membership.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Key findings: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Estimated TAM of $4.2B nationally for boutique recovery and wellness studios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Northeast SAM of approximately $980M, concentrated in metro Boston, NYC suburbs, and coastal Connecticut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Realistic 3-year SOM of $2.4M–$3.8M for a two-location operator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Fragmented competitive landscape: no player holds more than 4% regional share</w:t>
      </w:r>
    </w:p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Market Sizing</w:t>
      </w:r>
    </w:p>
    <w:p>
      <w:pPr>
        <w:spacing w:before="120"/>
      </w:pPr>
    </w:p>
    <w:p/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Customer Segments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Recovery-first athletes (25–40)</w:t>
      </w:r>
      <w:r>
        <w:rPr>
          <w:rFonts w:ascii="Calibri" w:cs="Calibri" w:eastAsia="Calibri" w:hAnsi="Calibri"/>
          <w:sz w:val="22"/>
          <w:szCs w:val="22"/>
        </w:rPr>
        <w:t xml:space="preserve"> — train hard elsewhere, buy recovery à la carte. High frequency, price-tolerant.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Longevity-focused professionals (35–55)</w:t>
      </w:r>
      <w:r>
        <w:rPr>
          <w:rFonts w:ascii="Calibri" w:cs="Calibri" w:eastAsia="Calibri" w:hAnsi="Calibri"/>
          <w:sz w:val="22"/>
          <w:szCs w:val="22"/>
        </w:rPr>
        <w:t xml:space="preserve"> — the fastest-growing segment; respond to memberships and assessments.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Post-physical-therapy graduates</w:t>
      </w:r>
      <w:r>
        <w:rPr>
          <w:rFonts w:ascii="Calibri" w:cs="Calibri" w:eastAsia="Calibri" w:hAnsi="Calibri"/>
          <w:sz w:val="22"/>
          <w:szCs w:val="22"/>
        </w:rPr>
        <w:t xml:space="preserve"> — referred by PT clinics; high retention when onboarded well.</w:t>
      </w:r>
    </w:p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Competitive Landscape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The regional market splits into franchise recovery concepts, spa-adjacent operators, and independent studios. Franchises win on consistency but lose on community; independents win on community but struggle with systems. The opening is a systems-driven independent with authentic local presence.</w:t>
      </w:r>
    </w:p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Strategic Recommendations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Anchor pricing on monthly memberships with a high-touch onboarding assessment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Build referral pipelines with 3–5 local PT clinics before opening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Program community events weekly — the moat is belonging, not equipment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Target 70% membership revenue mix by month 9</w:t>
      </w:r>
    </w:p>
    <w:p>
      <w:pPr>
        <w:spacing w:after="60" w:before="6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Generated by Making Waves AI Tools — Market Research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1"/>
      </w:pBdr>
      <w:tabs>
        <w:tab w:val="right" w:pos="9026"/>
      </w:tabs>
      <w:spacing w:before="200"/>
    </w:pPr>
    <w:r>
      <w:rPr>
        <w:rFonts w:ascii="Calibri" w:cs="Calibri" w:eastAsia="Calibri" w:hAnsi="Calibri"/>
        <w:color w:val="94A3B8"/>
        <w:sz w:val="14"/>
        <w:szCs w:val="14"/>
      </w:rPr>
      <w:t xml:space="preserve">Generated on October 11, 2026</w:t>
    </w:r>
    <w:r>
      <w:t xml:space="preserve">	</w:t>
    </w:r>
    <w:r>
      <w:rPr>
        <w:rFonts w:ascii="Calibri" w:cs="Calibri" w:eastAsia="Calibri" w:hAnsi="Calibri"/>
        <w:color w:val="0D9488"/>
        <w:sz w:val="14"/>
        <w:szCs w:val="14"/>
      </w:rPr>
      <w:t xml:space="preserve">makingwavescollective.com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2E8F0" w:sz="1"/>
      </w:pBdr>
      <w:tabs>
        <w:tab w:val="right" w:pos="9026"/>
      </w:tabs>
      <w:spacing w:after="200"/>
    </w:pPr>
    <w:r>
      <w:rPr>
        <w:rFonts w:ascii="Calibri" w:cs="Calibri" w:eastAsia="Calibri" w:hAnsi="Calibri"/>
        <w:b/>
        <w:bCs/>
        <w:color w:val="0D9488"/>
        <w:sz w:val="16"/>
        <w:szCs w:val="16"/>
      </w:rPr>
      <w:t xml:space="preserve">Making Waves Collective</w:t>
    </w:r>
    <w:r>
      <w:t xml:space="preserve">	</w:t>
    </w:r>
    <w:r>
      <w:rPr>
        <w:rFonts w:ascii="Calibri" w:cs="Calibri" w:eastAsia="Calibri" w:hAnsi="Calibri"/>
        <w:color w:val="94A3B8"/>
        <w:sz w:val="16"/>
        <w:szCs w:val="16"/>
      </w:rPr>
      <w:t xml:space="preserve">Market Research — Tidal Wellness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72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480"/>
    </w:pPr>
    <w:rPr>
      <w:rFonts w:ascii="Calibri" w:cs="Calibri" w:eastAsia="Calibri" w:hAnsi="Calibri"/>
      <w:b/>
      <w:bCs/>
      <w:color w:val="0F172A"/>
      <w:sz w:val="32"/>
      <w:szCs w:val="32"/>
    </w:rPr>
  </w:style>
  <w:style w:type="paragraph" w:styleId="Heading2">
    <w:name w:val="Heading 2"/>
    <w:basedOn w:val="Normal"/>
    <w:next w:val="Normal"/>
    <w:qFormat/>
    <w:pPr>
      <w:pBdr>
        <w:bottom w:val="single" w:color="E2E8F0" w:sz="1"/>
      </w:pBdr>
      <w:spacing w:after="120" w:before="360"/>
    </w:pPr>
    <w:rPr>
      <w:rFonts w:ascii="Calibri" w:cs="Calibri" w:eastAsia="Calibri" w:hAnsi="Calibri"/>
      <w:b/>
      <w:bCs/>
      <w:color w:val="0D9488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</w:pPr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2026-10-17T21:34:16.586Z</dcterms:created>
  <dcterms:modified xsi:type="dcterms:W3CDTF">2026-10-17T21:34:16.586Z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